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C3" w:rsidRDefault="00677A9D" w:rsidP="00677A9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25DC1">
        <w:rPr>
          <w:rFonts w:ascii="TH SarabunPSK" w:hAnsi="TH SarabunPSK" w:cs="TH SarabunPSK"/>
          <w:b/>
          <w:bCs/>
          <w:sz w:val="48"/>
          <w:szCs w:val="48"/>
          <w:cs/>
        </w:rPr>
        <w:t>ขอบเขตของงาน.........................................................................................</w:t>
      </w:r>
    </w:p>
    <w:p w:rsidR="00E53A45" w:rsidRPr="00E53A45" w:rsidRDefault="00E53A45" w:rsidP="00677A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359"/>
        <w:gridCol w:w="5589"/>
      </w:tblGrid>
      <w:tr w:rsidR="00677A9D" w:rsidRPr="00725DC1" w:rsidTr="00725DC1">
        <w:tc>
          <w:tcPr>
            <w:tcW w:w="8359" w:type="dxa"/>
          </w:tcPr>
          <w:p w:rsidR="00677A9D" w:rsidRPr="00725DC1" w:rsidRDefault="00677A9D" w:rsidP="00677A9D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รายการ</w:t>
            </w:r>
          </w:p>
        </w:tc>
        <w:tc>
          <w:tcPr>
            <w:tcW w:w="5589" w:type="dxa"/>
          </w:tcPr>
          <w:p w:rsidR="00677A9D" w:rsidRPr="00725DC1" w:rsidRDefault="00677A9D" w:rsidP="00677A9D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เหตุผล / แนวคิด</w:t>
            </w:r>
          </w:p>
        </w:tc>
      </w:tr>
      <w:tr w:rsidR="00677A9D" w:rsidRPr="00725DC1" w:rsidTr="00725DC1">
        <w:tc>
          <w:tcPr>
            <w:tcW w:w="8359" w:type="dxa"/>
          </w:tcPr>
          <w:p w:rsidR="00677A9D" w:rsidRPr="00725DC1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1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. เหตุผลความจำเป็น</w:t>
            </w:r>
          </w:p>
          <w:p w:rsidR="001B27D4" w:rsidRPr="00E53A45" w:rsidRDefault="001B27D4" w:rsidP="00F67C12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โดยที่สำนักงาน....................... มีภารกิจหลักในการ...............................</w:t>
            </w:r>
            <w:r w:rsidR="00F67C12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.............. ซึ่งในปีงบประมาณ</w:t>
            </w:r>
            <w:r w:rsidR="00F67C12" w:rsidRPr="00E53A45">
              <w:rPr>
                <w:rFonts w:ascii="TH SarabunPSK" w:hAnsi="TH SarabunPSK" w:cs="TH SarabunPSK" w:hint="cs"/>
                <w:sz w:val="48"/>
                <w:szCs w:val="48"/>
                <w:cs/>
              </w:rPr>
              <w:t>.........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ได้ตั้ง</w:t>
            </w:r>
            <w:r w:rsidR="00217AFE">
              <w:rPr>
                <w:rFonts w:ascii="TH SarabunPSK" w:hAnsi="TH SarabunPSK" w:cs="TH SarabunPSK" w:hint="cs"/>
                <w:sz w:val="48"/>
                <w:szCs w:val="48"/>
                <w:cs/>
              </w:rPr>
              <w:t>ง</w:t>
            </w:r>
            <w:bookmarkStart w:id="0" w:name="_GoBack"/>
            <w:bookmarkEnd w:id="0"/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บประมาณเพื่อจัดซื้อวัสดุสำนักงานไว้จำนวน 70 รายการ เป็นเงิน 7 แสนบาท ทั้งนี้ งบประมาณที่ตั้งไว้ในแต่ละรายการเป็นเพียงการประมาณการจากที่เคยใช้งานในปีงบประมาณที่ผ่านมา แต่ในปีงบประมาณปัจจุบัน อาจจะมีความจำเป็นต้องใช้บางรายการ</w:t>
            </w:r>
            <w:r w:rsidR="005C43E1">
              <w:rPr>
                <w:rFonts w:ascii="TH SarabunPSK" w:hAnsi="TH SarabunPSK" w:cs="TH SarabunPSK"/>
                <w:sz w:val="48"/>
                <w:szCs w:val="48"/>
                <w:cs/>
              </w:rPr>
              <w:t>มากกว่าที่ประมาณการไว้  และ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บางรายการอาจใช้น้อยกว่าที่ประมาณการไว้ หากจัดซื้อทั้งหมดในคราวเดียว และปรากฏว่า บางรายการใช้ไม่เพียงพอกับความต้องการ ก็จะส่งผลกระทบต่อผู้ใช้วัสดุนั้น ในทางกลับกัน บางรายการที่ใช้น้อยกว่าที่ประมาณการ ก็จะมีวัสดุค้างเบิก ทำให้เสื่อมคุณภาพ รวมทั้งกระทบกับการบริหารงบประมาณในภาพรวม ดังนั้น เพื่อประโยชน์ต่อทางราชการ จึงจำเป็นต้องดำเนินการจัดซื้อวัสดุเป็นครั้งๆ ตามข้อบ่งชี้ในการใช้งานที่ได้รับแจ้งจากผู้ใช้ เพื่อให้การ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lastRenderedPageBreak/>
              <w:t>จัดซื้อมีประสิทธิภาพ</w:t>
            </w:r>
          </w:p>
        </w:tc>
        <w:tc>
          <w:tcPr>
            <w:tcW w:w="5589" w:type="dxa"/>
          </w:tcPr>
          <w:p w:rsidR="00677A9D" w:rsidRPr="00725DC1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</w:p>
        </w:tc>
      </w:tr>
      <w:tr w:rsidR="00677A9D" w:rsidRPr="00725DC1" w:rsidTr="00725DC1">
        <w:tc>
          <w:tcPr>
            <w:tcW w:w="8359" w:type="dxa"/>
          </w:tcPr>
          <w:p w:rsidR="00677A9D" w:rsidRPr="00725DC1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. วัตถุประสงค์</w:t>
            </w:r>
          </w:p>
          <w:p w:rsidR="001B27D4" w:rsidRPr="00E53A45" w:rsidRDefault="001B27D4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    </w:t>
            </w:r>
            <w:proofErr w:type="gramStart"/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2.1  </w:t>
            </w:r>
            <w:r w:rsidR="00587EFB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เพื่อ</w:t>
            </w:r>
            <w:r w:rsidR="00725DC1" w:rsidRPr="00E53A45">
              <w:rPr>
                <w:rFonts w:ascii="TH SarabunPSK" w:hAnsi="TH SarabunPSK" w:cs="TH SarabunPSK" w:hint="cs"/>
                <w:sz w:val="48"/>
                <w:szCs w:val="48"/>
                <w:cs/>
              </w:rPr>
              <w:t>ซื้อ</w:t>
            </w:r>
            <w:proofErr w:type="gramEnd"/>
            <w:r w:rsidR="00725DC1" w:rsidRPr="00E53A45">
              <w:rPr>
                <w:rFonts w:ascii="TH SarabunPSK" w:hAnsi="TH SarabunPSK" w:cs="TH SarabunPSK" w:hint="cs"/>
                <w:sz w:val="48"/>
                <w:szCs w:val="48"/>
                <w:cs/>
              </w:rPr>
              <w:t>/จ้าง/เช่า</w:t>
            </w:r>
            <w:r w:rsidR="00725DC1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.........</w:t>
            </w:r>
            <w:r w:rsidR="00725DC1" w:rsidRPr="00E53A45">
              <w:rPr>
                <w:rFonts w:ascii="TH SarabunPSK" w:hAnsi="TH SarabunPSK" w:cs="TH SarabunPSK"/>
                <w:sz w:val="48"/>
                <w:szCs w:val="48"/>
              </w:rPr>
              <w:t xml:space="preserve"> (</w:t>
            </w:r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output 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(ผลผลิต)</w:t>
            </w:r>
            <w:r w:rsidR="00725DC1" w:rsidRPr="00E53A45">
              <w:rPr>
                <w:rFonts w:ascii="TH SarabunPSK" w:hAnsi="TH SarabunPSK" w:cs="TH SarabunPSK" w:hint="cs"/>
                <w:sz w:val="48"/>
                <w:szCs w:val="48"/>
                <w:cs/>
              </w:rPr>
              <w:t>)</w:t>
            </w:r>
          </w:p>
          <w:p w:rsidR="001B27D4" w:rsidRPr="00725DC1" w:rsidRDefault="001B27D4" w:rsidP="001B27D4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    2.2 </w:t>
            </w:r>
            <w:r w:rsidR="00587EFB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เพื่อ...........</w:t>
            </w:r>
            <w:r w:rsidR="00725DC1" w:rsidRPr="00E53A45">
              <w:rPr>
                <w:rFonts w:ascii="TH SarabunPSK" w:hAnsi="TH SarabunPSK" w:cs="TH SarabunPSK"/>
                <w:sz w:val="48"/>
                <w:szCs w:val="48"/>
              </w:rPr>
              <w:t>(</w:t>
            </w:r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outcome 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(ผลลัพธ์)</w:t>
            </w:r>
            <w:r w:rsidR="00725DC1" w:rsidRPr="00E53A45">
              <w:rPr>
                <w:rFonts w:ascii="TH SarabunPSK" w:hAnsi="TH SarabunPSK" w:cs="TH SarabunPSK" w:hint="cs"/>
                <w:sz w:val="48"/>
                <w:szCs w:val="48"/>
                <w:cs/>
              </w:rPr>
              <w:t>)</w:t>
            </w:r>
          </w:p>
        </w:tc>
        <w:tc>
          <w:tcPr>
            <w:tcW w:w="5589" w:type="dxa"/>
          </w:tcPr>
          <w:p w:rsidR="001B27D4" w:rsidRPr="00725DC1" w:rsidRDefault="001B27D4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</w:p>
        </w:tc>
      </w:tr>
      <w:tr w:rsidR="00677A9D" w:rsidRPr="00725DC1" w:rsidTr="00725DC1">
        <w:tc>
          <w:tcPr>
            <w:tcW w:w="8359" w:type="dxa"/>
          </w:tcPr>
          <w:p w:rsidR="00A85351" w:rsidRPr="00725DC1" w:rsidRDefault="00677A9D" w:rsidP="001B27D4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3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.  คุณสมบัติของผู้ยื่นข้อเสนอ</w:t>
            </w:r>
          </w:p>
          <w:p w:rsidR="001B27D4" w:rsidRPr="00E53A45" w:rsidRDefault="00587EFB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(1)</w:t>
            </w:r>
            <w:r w:rsidR="001B27D4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มีความสามารถตามกฎหมาย </w:t>
            </w:r>
          </w:p>
          <w:p w:rsidR="001B27D4" w:rsidRPr="00E53A45" w:rsidRDefault="00587EFB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</w:rPr>
              <w:t xml:space="preserve">    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(2)</w:t>
            </w:r>
            <w:r w:rsidR="001B27D4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ไม่เป็นบุคคลล้มละลาย</w:t>
            </w:r>
          </w:p>
          <w:p w:rsidR="001B27D4" w:rsidRPr="00E53A45" w:rsidRDefault="00587EFB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(3)</w:t>
            </w:r>
            <w:r w:rsidR="001B27D4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ไม่อยู่ระหว่างเลิกกิจการ</w:t>
            </w:r>
          </w:p>
          <w:p w:rsidR="001B27D4" w:rsidRPr="00E53A45" w:rsidRDefault="00725DC1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(4)</w:t>
            </w:r>
            <w:r w:rsidR="001B27D4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  <w:p w:rsidR="001B27D4" w:rsidRPr="00E53A45" w:rsidRDefault="001B27D4" w:rsidP="001B27D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ab/>
            </w:r>
            <w:r w:rsidR="00725DC1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(5)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  <w:p w:rsidR="001B27D4" w:rsidRPr="00E53A45" w:rsidRDefault="00725DC1" w:rsidP="001B27D4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lastRenderedPageBreak/>
              <w:t xml:space="preserve">     (6)</w:t>
            </w:r>
            <w:r w:rsidR="001B27D4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  <w:p w:rsidR="00847A06" w:rsidRPr="00E53A45" w:rsidRDefault="00725DC1" w:rsidP="00847A06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7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)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เป็นบุคคลธรรมดาหรือนิติบุคคลผู้มีอาชีพ</w:t>
            </w:r>
          </w:p>
          <w:p w:rsidR="00847A06" w:rsidRPr="00E53A45" w:rsidRDefault="00725DC1" w:rsidP="00847A06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(8)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ไม่เป็นผู้มีผลประโยชน์ร่วมกันกับผู้ยื่นข้อเสนอรายอื่น หรือกระทำการอันเป็นการขัดขวางการแข่งขันราคาอย่างเป็นธรรม</w:t>
            </w:r>
          </w:p>
          <w:p w:rsidR="00847A06" w:rsidRPr="00E53A45" w:rsidRDefault="00725DC1" w:rsidP="00847A06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(9)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เว้นแต่รัฐบาลของผู้เสนอราคาได้มีคำสั่งให้สละเอกสิทธิ์และความคุ้มกันเช่นว่านั้น</w:t>
            </w:r>
          </w:p>
          <w:p w:rsidR="00847A06" w:rsidRPr="00E53A45" w:rsidRDefault="00725DC1" w:rsidP="00847A06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(10)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ผู้ยื่นข้อเสนอต้องลงทะเบียนในระบบจัดซื้อจัดจ้างภาครัฐด้วยอิเล็กทรอนิกส์ (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</w:rPr>
              <w:t>e-GP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)</w:t>
            </w:r>
          </w:p>
          <w:p w:rsidR="00847A06" w:rsidRDefault="00725DC1" w:rsidP="001B27D4">
            <w:pPr>
              <w:rPr>
                <w:rFonts w:ascii="TH SarabunPSK" w:hAnsi="TH SarabunPSK" w:cs="TH SarabunPSK"/>
                <w:color w:val="FF0000"/>
                <w:sz w:val="48"/>
                <w:szCs w:val="48"/>
              </w:rPr>
            </w:pP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  (1</w:t>
            </w:r>
            <w:r w:rsidR="007A7D2C">
              <w:rPr>
                <w:rFonts w:ascii="TH SarabunPSK" w:hAnsi="TH SarabunPSK" w:cs="TH SarabunPSK" w:hint="cs"/>
                <w:sz w:val="48"/>
                <w:szCs w:val="48"/>
                <w:cs/>
              </w:rPr>
              <w:t>1</w:t>
            </w:r>
            <w:r w:rsidRPr="00E53A45">
              <w:rPr>
                <w:rFonts w:ascii="TH SarabunPSK" w:hAnsi="TH SarabunPSK" w:cs="TH SarabunPSK"/>
                <w:sz w:val="48"/>
                <w:szCs w:val="48"/>
                <w:cs/>
              </w:rPr>
              <w:t>)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ต้องมีผลงานก่อสร้างประเภทเดียวกันกับงานที่ประกวดราคาจ้างก่อสร้างในวงเงินไม่น้อยกว่า.........บาท และเป็นผลงานที่เป็นคู่สัญญาโดยตรงกับหน่วยงานของรัฐ หรือเอกชนที่..........เชื่อถือ</w:t>
            </w:r>
            <w:r w:rsidR="00847A06" w:rsidRPr="00E53A45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847A06" w:rsidRPr="00E53A45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t>โดยมีระยะเวลาของผลงานไม่เกิน</w:t>
            </w:r>
            <w:r w:rsidR="002C0922"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.......</w:t>
            </w:r>
            <w:r w:rsidR="00847A06" w:rsidRPr="00E53A45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t>ปี</w:t>
            </w:r>
          </w:p>
          <w:p w:rsidR="007A7D2C" w:rsidRDefault="007A7D2C" w:rsidP="001B27D4">
            <w:pPr>
              <w:rPr>
                <w:rFonts w:ascii="TH SarabunPSK" w:hAnsi="TH SarabunPSK" w:cs="TH SarabunPSK"/>
                <w:color w:val="FF0000"/>
                <w:sz w:val="48"/>
                <w:szCs w:val="48"/>
              </w:rPr>
            </w:pPr>
          </w:p>
          <w:p w:rsidR="007A7D2C" w:rsidRPr="00E53A45" w:rsidRDefault="007A7D2C" w:rsidP="001B27D4">
            <w:pPr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</w:pPr>
          </w:p>
          <w:p w:rsidR="001B27D4" w:rsidRPr="00725DC1" w:rsidRDefault="00725DC1" w:rsidP="002C0922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E53A45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lastRenderedPageBreak/>
              <w:t xml:space="preserve">     (</w:t>
            </w:r>
            <w:r w:rsidR="007A7D2C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t>1</w:t>
            </w:r>
            <w:r w:rsidR="007A7D2C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2</w:t>
            </w:r>
            <w:r w:rsidRPr="00E53A45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t>)</w:t>
            </w:r>
            <w:r w:rsidR="00847A06" w:rsidRPr="00E53A45">
              <w:rPr>
                <w:rFonts w:ascii="TH SarabunPSK" w:hAnsi="TH SarabunPSK" w:cs="TH SarabunPSK"/>
                <w:color w:val="FF0000"/>
                <w:sz w:val="48"/>
                <w:szCs w:val="48"/>
                <w:cs/>
              </w:rPr>
              <w:t xml:space="preserve"> ต้องเป็นตัวแทนจำหน่ายที่ได้รับแต่งตั้งจากบริษัทผู้ผลิต</w:t>
            </w:r>
          </w:p>
        </w:tc>
        <w:tc>
          <w:tcPr>
            <w:tcW w:w="5589" w:type="dxa"/>
          </w:tcPr>
          <w:p w:rsidR="00677A9D" w:rsidRPr="00725DC1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7A06" w:rsidRPr="00725DC1" w:rsidRDefault="005E7DF4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8"/>
                <w:szCs w:val="4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margin-left:19.05pt;margin-top:6.35pt;width:43.55pt;height:334.35pt;z-index:251663360"/>
              </w:pict>
            </w:r>
          </w:p>
          <w:p w:rsidR="00847A06" w:rsidRPr="00725DC1" w:rsidRDefault="00847A06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7A06" w:rsidRPr="00725DC1" w:rsidRDefault="00847A06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7A06" w:rsidRPr="00725DC1" w:rsidRDefault="00847A06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2C0922" w:rsidRDefault="002C09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E53A45" w:rsidRDefault="00E53A45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7A06" w:rsidRDefault="002C09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</w:t>
            </w:r>
            <w:r w:rsidR="00847A06"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             นำมาจาก ว </w:t>
            </w:r>
            <w:r w:rsidR="00847A06"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410</w:t>
            </w: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5E7DF4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8"/>
                <w:szCs w:val="48"/>
              </w:rPr>
              <w:lastRenderedPageBreak/>
              <w:pict>
                <v:shape id="_x0000_s1033" type="#_x0000_t88" style="position:absolute;margin-left:11.55pt;margin-top:26.3pt;width:38.5pt;height:384.45pt;z-index:251664384"/>
              </w:pict>
            </w: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24778" w:rsidRDefault="00424778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AC5122" w:rsidRDefault="00AC512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             นำมาจาก ว 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410</w:t>
            </w: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405157" w:rsidRDefault="0040515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6F7D99" w:rsidRPr="00E53A45" w:rsidRDefault="00827D03" w:rsidP="006F7D99">
            <w:pPr>
              <w:pStyle w:val="a4"/>
              <w:numPr>
                <w:ilvl w:val="0"/>
                <w:numId w:val="6"/>
              </w:numPr>
              <w:ind w:left="5" w:firstLine="355"/>
              <w:rPr>
                <w:rFonts w:ascii="TH SarabunPSK" w:hAnsi="TH SarabunPSK" w:cs="TH SarabunPSK"/>
                <w:color w:val="FF0000"/>
                <w:sz w:val="48"/>
                <w:szCs w:val="48"/>
              </w:rPr>
            </w:pPr>
            <w:r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lastRenderedPageBreak/>
              <w:t xml:space="preserve">คุณสมบัตินอกเหนือจาก ว 410 </w:t>
            </w:r>
            <w:r w:rsidR="006F7D99"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ผู้รับผิดชอบในการกำหนดชอบเขตของาน</w:t>
            </w:r>
            <w:r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จะต้องชี้แจงเหตุผลความจำเป็น</w:t>
            </w:r>
            <w:r w:rsidR="006F7D99"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กำกับ</w:t>
            </w:r>
            <w:r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ไว้</w:t>
            </w:r>
            <w:r w:rsidR="006F7D99"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ให้ชัดเจน</w:t>
            </w:r>
          </w:p>
          <w:p w:rsidR="00405157" w:rsidRPr="006F7D99" w:rsidRDefault="006F7D99" w:rsidP="006F7D99">
            <w:pPr>
              <w:pStyle w:val="a4"/>
              <w:numPr>
                <w:ilvl w:val="0"/>
                <w:numId w:val="6"/>
              </w:numPr>
              <w:ind w:left="5" w:firstLine="355"/>
              <w:rPr>
                <w:rFonts w:ascii="TH SarabunPSK" w:hAnsi="TH SarabunPSK" w:cs="TH SarabunPSK"/>
                <w:b/>
                <w:bCs/>
                <w:color w:val="FF0000"/>
                <w:sz w:val="48"/>
                <w:szCs w:val="48"/>
              </w:rPr>
            </w:pPr>
            <w:r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เจ้าหน้าที่พัสดุจะต้องกำหนดเอกสารหลักฐานที่จะใช้ในการตรวจสอบ</w:t>
            </w:r>
            <w:r w:rsidR="00827D03" w:rsidRPr="00E53A45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ด้วย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48"/>
                <w:szCs w:val="48"/>
              </w:rPr>
              <w:t xml:space="preserve"> </w:t>
            </w:r>
          </w:p>
        </w:tc>
      </w:tr>
      <w:tr w:rsidR="00677A9D" w:rsidRPr="00725DC1" w:rsidTr="00725DC1">
        <w:tc>
          <w:tcPr>
            <w:tcW w:w="8359" w:type="dxa"/>
          </w:tcPr>
          <w:p w:rsidR="00677A9D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4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. รายละเอียดของงาน / รายละเอียดคุณลักษณะเฉพาะ</w:t>
            </w:r>
            <w:r w:rsidR="00C67D98"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/ แบบรูปรายการก่อสร้าง</w:t>
            </w:r>
          </w:p>
          <w:p w:rsidR="00DF0BCE" w:rsidRPr="006B2C48" w:rsidRDefault="00DF0BCE" w:rsidP="009C71DF">
            <w:pPr>
              <w:pStyle w:val="a4"/>
              <w:numPr>
                <w:ilvl w:val="0"/>
                <w:numId w:val="2"/>
              </w:numPr>
              <w:tabs>
                <w:tab w:val="left" w:pos="1155"/>
              </w:tabs>
              <w:ind w:left="1134" w:hanging="339"/>
              <w:rPr>
                <w:rFonts w:ascii="TH SarabunPSK" w:hAnsi="TH SarabunPSK" w:cs="TH SarabunPSK"/>
                <w:b/>
                <w:bCs/>
                <w:color w:val="00B050"/>
                <w:sz w:val="48"/>
                <w:szCs w:val="48"/>
              </w:rPr>
            </w:pPr>
            <w:r w:rsidRPr="006B2C48">
              <w:rPr>
                <w:rFonts w:ascii="TH SarabunPSK" w:hAnsi="TH SarabunPSK" w:cs="TH SarabunPSK" w:hint="cs"/>
                <w:b/>
                <w:bCs/>
                <w:color w:val="00B050"/>
                <w:sz w:val="48"/>
                <w:szCs w:val="48"/>
                <w:cs/>
              </w:rPr>
              <w:t>กรณีงานจ้างทั่วไป ให้กำหนด</w:t>
            </w:r>
            <w:r w:rsidRPr="006B2C48">
              <w:rPr>
                <w:rFonts w:ascii="TH SarabunPSK" w:hAnsi="TH SarabunPSK" w:cs="TH SarabunPSK"/>
                <w:b/>
                <w:bCs/>
                <w:color w:val="00B050"/>
                <w:sz w:val="48"/>
                <w:szCs w:val="48"/>
                <w:cs/>
              </w:rPr>
              <w:t>รายละเอียดของงาน</w:t>
            </w:r>
            <w:r w:rsidRPr="006B2C48">
              <w:rPr>
                <w:rFonts w:ascii="TH SarabunPSK" w:hAnsi="TH SarabunPSK" w:cs="TH SarabunPSK" w:hint="cs"/>
                <w:b/>
                <w:bCs/>
                <w:color w:val="00B050"/>
                <w:sz w:val="48"/>
                <w:szCs w:val="48"/>
                <w:cs/>
              </w:rPr>
              <w:t>ที่ประสงค์จะให้ผู้รับจ้างดำเนินการให้บรรลุตามประสงค์ของหน่วยงาน</w:t>
            </w:r>
          </w:p>
          <w:p w:rsidR="00DF0BCE" w:rsidRPr="006B2C48" w:rsidRDefault="00DF0BCE" w:rsidP="009C71DF">
            <w:pPr>
              <w:pStyle w:val="a4"/>
              <w:numPr>
                <w:ilvl w:val="0"/>
                <w:numId w:val="2"/>
              </w:numPr>
              <w:tabs>
                <w:tab w:val="left" w:pos="1155"/>
              </w:tabs>
              <w:ind w:left="1134" w:hanging="339"/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</w:rPr>
            </w:pPr>
            <w:r w:rsidRPr="006B2C48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cs/>
              </w:rPr>
              <w:t>กรณีงานซื้อ/เช่า ให้กำหนด</w:t>
            </w:r>
            <w:r w:rsidR="00F67C12"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cs/>
              </w:rPr>
              <w:t>รายละเอียดคุณลักษณะเฉพา</w:t>
            </w:r>
            <w:r w:rsidR="00F67C12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cs/>
              </w:rPr>
              <w:t>ะของพัสดุที่ซื้อหรือเช่า</w:t>
            </w:r>
          </w:p>
          <w:p w:rsidR="009D7F14" w:rsidRPr="00DB2DE6" w:rsidRDefault="009D7F14" w:rsidP="009C71DF">
            <w:pPr>
              <w:pStyle w:val="a4"/>
              <w:numPr>
                <w:ilvl w:val="0"/>
                <w:numId w:val="5"/>
              </w:numPr>
              <w:ind w:left="0" w:firstLine="1155"/>
              <w:rPr>
                <w:rFonts w:ascii="TH SarabunPSK" w:hAnsi="TH SarabunPSK" w:cs="TH SarabunPSK"/>
                <w:color w:val="0000FF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จะมีบทบัญญัติของกฎหมาย หรือหลักเกณฑ์ที่เกี่ยวข้อง ได้แก่</w:t>
            </w:r>
            <w:r w:rsidR="00B55E24" w:rsidRPr="00DB2DE6">
              <w:rPr>
                <w:rFonts w:ascii="TH SarabunPSK" w:hAnsi="TH SarabunPSK" w:cs="TH SarabunPSK"/>
                <w:color w:val="0000FF"/>
                <w:sz w:val="48"/>
                <w:szCs w:val="48"/>
              </w:rPr>
              <w:t xml:space="preserve"> </w:t>
            </w:r>
            <w:r w:rsidR="00B55E24"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 xml:space="preserve">มาตรา </w:t>
            </w:r>
            <w:r w:rsidR="00B55E24" w:rsidRPr="00DB2DE6">
              <w:rPr>
                <w:rFonts w:ascii="TH SarabunPSK" w:hAnsi="TH SarabunPSK" w:cs="TH SarabunPSK"/>
                <w:color w:val="0000FF"/>
                <w:sz w:val="48"/>
                <w:szCs w:val="48"/>
              </w:rPr>
              <w:t xml:space="preserve">9 </w:t>
            </w:r>
            <w:r w:rsidR="00B55E24"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ห้ามระบุยี่ห้อหรือกำหนดให้ใกล้เคียงยี่ห้อใดยี่ห้อหนึ่ง</w:t>
            </w:r>
          </w:p>
          <w:p w:rsidR="00B55E24" w:rsidRPr="00DB2DE6" w:rsidRDefault="00B55E24" w:rsidP="009C71DF">
            <w:pPr>
              <w:pStyle w:val="a4"/>
              <w:numPr>
                <w:ilvl w:val="0"/>
                <w:numId w:val="5"/>
              </w:numPr>
              <w:ind w:left="0" w:firstLine="1155"/>
              <w:rPr>
                <w:rFonts w:ascii="TH SarabunPSK" w:hAnsi="TH SarabunPSK" w:cs="TH SarabunPSK"/>
                <w:color w:val="0070C0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 xml:space="preserve">ระเบียบฯ ข้อ </w:t>
            </w:r>
            <w:r w:rsidRPr="00DB2DE6">
              <w:rPr>
                <w:rFonts w:ascii="TH SarabunPSK" w:hAnsi="TH SarabunPSK" w:cs="TH SarabunPSK"/>
                <w:color w:val="0000FF"/>
                <w:sz w:val="48"/>
                <w:szCs w:val="48"/>
              </w:rPr>
              <w:t>21</w:t>
            </w: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 xml:space="preserve"> วรรคสอง ให้กำหนดรายละเอียดตาม มอก. (พัสดุที่เสนอต้องมีรายละเอียดคุณลักษณะเฉพาะ</w:t>
            </w: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lastRenderedPageBreak/>
              <w:t xml:space="preserve">เป็นไปตาม มอก. ............ </w:t>
            </w:r>
            <w:r w:rsidRPr="00DB2DE6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ห้ามกำหนดว่า พัสดุที่เสนอต้องได้รับ มอก. ...........)</w:t>
            </w:r>
          </w:p>
          <w:p w:rsidR="00B4461E" w:rsidRDefault="00B4461E" w:rsidP="009C71DF">
            <w:pPr>
              <w:pStyle w:val="a4"/>
              <w:numPr>
                <w:ilvl w:val="0"/>
                <w:numId w:val="5"/>
              </w:numPr>
              <w:ind w:left="142" w:firstLine="1013"/>
              <w:rPr>
                <w:rFonts w:ascii="TH SarabunPSK" w:hAnsi="TH SarabunPSK" w:cs="TH SarabunPSK"/>
                <w:color w:val="0000FF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คุณลักษณะเฉพาะของหน่วยงานกลาง เช่น สำนักงบประมาณ</w:t>
            </w:r>
            <w:r w:rsidRPr="00DB2DE6">
              <w:rPr>
                <w:rFonts w:ascii="TH SarabunPSK" w:hAnsi="TH SarabunPSK" w:cs="TH SarabunPSK"/>
                <w:color w:val="0000FF"/>
                <w:sz w:val="48"/>
                <w:szCs w:val="48"/>
              </w:rPr>
              <w:t xml:space="preserve">  </w:t>
            </w:r>
            <w:r w:rsidR="009C71DF"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กระทรวงดิจิทัลฯ</w:t>
            </w:r>
          </w:p>
          <w:p w:rsidR="00FC3B0A" w:rsidRPr="00DB2DE6" w:rsidRDefault="00FC3B0A" w:rsidP="009C71DF">
            <w:pPr>
              <w:pStyle w:val="a4"/>
              <w:numPr>
                <w:ilvl w:val="0"/>
                <w:numId w:val="5"/>
              </w:numPr>
              <w:ind w:left="142" w:firstLine="1013"/>
              <w:rPr>
                <w:rFonts w:ascii="TH SarabunPSK" w:hAnsi="TH SarabunPSK" w:cs="TH SarabunPSK"/>
                <w:color w:val="0000FF"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สินค้าที่เป็นมิตรกับสิ่งแวดล้อม อาทิ ฉลากเขียว</w:t>
            </w:r>
          </w:p>
          <w:p w:rsidR="00B4461E" w:rsidRPr="00DB2DE6" w:rsidRDefault="00B4461E" w:rsidP="009C71DF">
            <w:pPr>
              <w:pStyle w:val="a4"/>
              <w:numPr>
                <w:ilvl w:val="0"/>
                <w:numId w:val="5"/>
              </w:numPr>
              <w:ind w:left="0" w:firstLine="1155"/>
              <w:rPr>
                <w:rFonts w:ascii="TH SarabunPSK" w:hAnsi="TH SarabunPSK" w:cs="TH SarabunPSK"/>
                <w:color w:val="0000FF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 xml:space="preserve">คุณลักษณะเฉพาะจากเอกสารของผู้ผลิต (ต้องเป็นคุณลักษณะเฉพาะที่สามารถเข้าได้ตั้งแต่ </w:t>
            </w:r>
            <w:r w:rsidRPr="00DB2DE6">
              <w:rPr>
                <w:rFonts w:ascii="TH SarabunPSK" w:hAnsi="TH SarabunPSK" w:cs="TH SarabunPSK"/>
                <w:color w:val="0000FF"/>
                <w:sz w:val="48"/>
                <w:szCs w:val="48"/>
              </w:rPr>
              <w:t xml:space="preserve">3 </w:t>
            </w:r>
            <w:r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ราย ขึ้นไป</w:t>
            </w:r>
            <w:r w:rsidR="00D21A81" w:rsidRPr="00DB2DE6">
              <w:rPr>
                <w:rFonts w:ascii="TH SarabunPSK" w:hAnsi="TH SarabunPSK" w:cs="TH SarabunPSK" w:hint="cs"/>
                <w:color w:val="0000FF"/>
                <w:sz w:val="48"/>
                <w:szCs w:val="48"/>
                <w:cs/>
              </w:rPr>
              <w:t>)</w:t>
            </w:r>
          </w:p>
          <w:p w:rsidR="00DF0BCE" w:rsidRDefault="00DF0BCE" w:rsidP="00DF0BCE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กรณีงานก่อสร้าง ให้จัดทำ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แบบรูปรายการก่อสร้าง</w:t>
            </w:r>
          </w:p>
          <w:p w:rsidR="00DF0BCE" w:rsidRDefault="00DF0BCE" w:rsidP="00DF0BCE">
            <w:pPr>
              <w:ind w:left="1155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การได้มาซึ่งแบบฯ มี 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ช่องทาง คือ</w:t>
            </w:r>
          </w:p>
          <w:p w:rsidR="00DF0BCE" w:rsidRDefault="00DF0BCE" w:rsidP="00DF0BCE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หน่วยงานของรัฐออกแบบเอง </w:t>
            </w:r>
          </w:p>
          <w:p w:rsidR="00DF0BCE" w:rsidRDefault="00DF0BCE" w:rsidP="00DF0BCE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จ้างผู้ให้บริการออกแบบ</w:t>
            </w:r>
          </w:p>
          <w:p w:rsidR="00DF0BCE" w:rsidRDefault="00DF0BCE" w:rsidP="00DF0BCE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ขอความร่วมมือหน่วยงานอื่นออกแบบให้</w:t>
            </w:r>
          </w:p>
          <w:p w:rsidR="006B2C48" w:rsidRPr="00DB2DE6" w:rsidRDefault="006B2C48" w:rsidP="009C71DF">
            <w:pPr>
              <w:pStyle w:val="a4"/>
              <w:numPr>
                <w:ilvl w:val="0"/>
                <w:numId w:val="5"/>
              </w:numPr>
              <w:ind w:left="0" w:firstLine="1155"/>
              <w:rPr>
                <w:rFonts w:ascii="TH SarabunPSK" w:hAnsi="TH SarabunPSK" w:cs="TH SarabunPSK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ระเบียบฯ ข้อ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21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วรรคสอง ให้กำหนดรายละเอียดของรายการก่อสร้างตาม มอก.</w:t>
            </w:r>
          </w:p>
          <w:p w:rsidR="006B2C48" w:rsidRPr="006B2C48" w:rsidRDefault="006B2C48" w:rsidP="00FC3B0A">
            <w:pPr>
              <w:pStyle w:val="a4"/>
              <w:numPr>
                <w:ilvl w:val="0"/>
                <w:numId w:val="5"/>
              </w:numPr>
              <w:ind w:left="0" w:firstLine="1155"/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cs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หากจำเป็นต้องระบุยี่ห้อของสิ่งของในการก่อสร้าง </w:t>
            </w:r>
            <w:r w:rsidR="002316F1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</w:t>
            </w:r>
            <w:r w:rsidR="00FC3B0A">
              <w:rPr>
                <w:rFonts w:ascii="TH SarabunPSK" w:hAnsi="TH SarabunPSK" w:cs="TH SarabunPSK" w:hint="cs"/>
                <w:sz w:val="48"/>
                <w:szCs w:val="48"/>
                <w:cs/>
              </w:rPr>
              <w:t>ก็กระทำได้ (มติคณะรัฐมนตรี ว.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52)</w:t>
            </w:r>
          </w:p>
        </w:tc>
        <w:tc>
          <w:tcPr>
            <w:tcW w:w="5589" w:type="dxa"/>
          </w:tcPr>
          <w:p w:rsidR="00677A9D" w:rsidRPr="00725DC1" w:rsidRDefault="00677A9D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251D7C" w:rsidRPr="00725DC1" w:rsidTr="00725DC1">
        <w:tc>
          <w:tcPr>
            <w:tcW w:w="8359" w:type="dxa"/>
          </w:tcPr>
          <w:p w:rsidR="00251D7C" w:rsidRPr="00725DC1" w:rsidRDefault="00251D7C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5</w:t>
            </w:r>
            <w:r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.</w:t>
            </w:r>
            <w:r w:rsidR="00C67D98"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</w:t>
            </w:r>
            <w:r w:rsidR="00F43D29" w:rsidRPr="00725DC1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วงเงินที่จะใช้ในการจัดซื้อ</w:t>
            </w:r>
          </w:p>
        </w:tc>
        <w:tc>
          <w:tcPr>
            <w:tcW w:w="5589" w:type="dxa"/>
          </w:tcPr>
          <w:p w:rsidR="00251D7C" w:rsidRPr="00407756" w:rsidRDefault="001B27D4" w:rsidP="006538DA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407756">
              <w:rPr>
                <w:rFonts w:ascii="TH SarabunPSK" w:hAnsi="TH SarabunPSK" w:cs="TH SarabunPSK"/>
                <w:sz w:val="48"/>
                <w:szCs w:val="48"/>
                <w:cs/>
              </w:rPr>
              <w:t>แหล่งเงิน.......   ปี.......  โครงการ.....</w:t>
            </w:r>
            <w:r w:rsidR="006538DA"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>..</w:t>
            </w:r>
            <w:r w:rsidRPr="00407756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 แผนงาน......  งบรายจ่าย......  รายการ........  </w:t>
            </w:r>
            <w:r w:rsidRPr="00407756">
              <w:rPr>
                <w:rFonts w:ascii="TH SarabunPSK" w:hAnsi="TH SarabunPSK" w:cs="TH SarabunPSK"/>
                <w:sz w:val="48"/>
                <w:szCs w:val="48"/>
                <w:cs/>
              </w:rPr>
              <w:lastRenderedPageBreak/>
              <w:t>จำนวนเงิน</w:t>
            </w:r>
            <w:r w:rsidR="006538DA"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>............ บาท</w:t>
            </w:r>
          </w:p>
        </w:tc>
      </w:tr>
      <w:tr w:rsidR="00251D7C" w:rsidRPr="00725DC1" w:rsidTr="00725DC1">
        <w:tc>
          <w:tcPr>
            <w:tcW w:w="8359" w:type="dxa"/>
          </w:tcPr>
          <w:p w:rsidR="00251D7C" w:rsidRDefault="00F25FF6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 xml:space="preserve">6. 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ระยาเวลาการดำเนินงาน</w:t>
            </w:r>
          </w:p>
          <w:p w:rsidR="00F25FF6" w:rsidRPr="00DB2DE6" w:rsidRDefault="00F25FF6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DB2DE6">
              <w:rPr>
                <w:rFonts w:ascii="TH SarabunPSK" w:hAnsi="TH SarabunPSK" w:cs="TH SarabunPSK"/>
                <w:sz w:val="48"/>
                <w:szCs w:val="48"/>
              </w:rPr>
              <w:t xml:space="preserve">    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6.1 ระยะเวลาที่คู่สัญญ</w:t>
            </w:r>
            <w:r w:rsidR="006549A8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าต้องเริ่มดำเนินงานตามสัญญา (วัน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ถัดจากลงนาม</w:t>
            </w:r>
            <w:r w:rsidR="006549A8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สัญญา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หรือวันใดวันหนึ่งก็ได้)</w:t>
            </w:r>
          </w:p>
          <w:p w:rsidR="00F25FF6" w:rsidRPr="00725DC1" w:rsidRDefault="00F25FF6" w:rsidP="00F25FF6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6.2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ระยะเวลาที่ต้องทำงานให้แล้วเสร็จนับถัดจากวันที่ลงนามในสัญญา (วันสิ้นสุดสัญญา)</w:t>
            </w:r>
          </w:p>
        </w:tc>
        <w:tc>
          <w:tcPr>
            <w:tcW w:w="5589" w:type="dxa"/>
          </w:tcPr>
          <w:p w:rsidR="00251D7C" w:rsidRPr="00725DC1" w:rsidRDefault="00251D7C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251D7C" w:rsidRPr="00725DC1" w:rsidTr="00725DC1">
        <w:tc>
          <w:tcPr>
            <w:tcW w:w="8359" w:type="dxa"/>
          </w:tcPr>
          <w:p w:rsidR="00251D7C" w:rsidRDefault="00F25FF6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. การส่งมอบงาน</w:t>
            </w:r>
          </w:p>
          <w:p w:rsidR="00F25FF6" w:rsidRPr="00DB2DE6" w:rsidRDefault="00F25FF6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7.1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</w:t>
            </w:r>
            <w:r w:rsidR="004B0E47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กรณีส่งมอบงวดเดียว ต้องส่งมอบภายในเวลาแล้วเสร็จตาม </w:t>
            </w:r>
            <w:r w:rsidR="004B0E47" w:rsidRPr="00DB2DE6">
              <w:rPr>
                <w:rFonts w:ascii="TH SarabunPSK" w:hAnsi="TH SarabunPSK" w:cs="TH SarabunPSK"/>
                <w:sz w:val="48"/>
                <w:szCs w:val="48"/>
              </w:rPr>
              <w:t>6.2</w:t>
            </w:r>
          </w:p>
          <w:p w:rsidR="004B0E47" w:rsidRPr="00725DC1" w:rsidRDefault="004B0E4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DB2DE6">
              <w:rPr>
                <w:rFonts w:ascii="TH SarabunPSK" w:hAnsi="TH SarabunPSK" w:cs="TH SarabunPSK"/>
                <w:sz w:val="48"/>
                <w:szCs w:val="48"/>
              </w:rPr>
              <w:t xml:space="preserve">    7.2 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กรณีส่งมอบหลายงวด  ให้กำหนดเวลาที่ส่งมอบในแต่ละงวด โดยงวดสุดท้ายต้องตรงกับ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6.2</w:t>
            </w:r>
          </w:p>
        </w:tc>
        <w:tc>
          <w:tcPr>
            <w:tcW w:w="5589" w:type="dxa"/>
          </w:tcPr>
          <w:p w:rsidR="00251D7C" w:rsidRPr="00725DC1" w:rsidRDefault="00251D7C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251D7C" w:rsidRPr="00725DC1" w:rsidTr="00725DC1">
        <w:tc>
          <w:tcPr>
            <w:tcW w:w="8359" w:type="dxa"/>
          </w:tcPr>
          <w:p w:rsidR="00251D7C" w:rsidRDefault="004B0E4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8. 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การชำระเงิน</w:t>
            </w:r>
          </w:p>
          <w:p w:rsidR="004B0E47" w:rsidRPr="00DB2DE6" w:rsidRDefault="004B0E47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8.</w:t>
            </w:r>
            <w:r w:rsidR="00DB2DE6" w:rsidRPr="00DB2DE6">
              <w:rPr>
                <w:rFonts w:ascii="TH SarabunPSK" w:hAnsi="TH SarabunPSK" w:cs="TH SarabunPSK"/>
                <w:sz w:val="48"/>
                <w:szCs w:val="48"/>
              </w:rPr>
              <w:t>1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>งวดงานและงวดเงินตรงกัน</w:t>
            </w:r>
            <w:r w:rsidR="00CB481A" w:rsidRPr="00DB2DE6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เช่น ส่งมอบงาน </w:t>
            </w:r>
            <w:r w:rsidR="00CB481A" w:rsidRPr="00DB2DE6">
              <w:rPr>
                <w:rFonts w:ascii="TH SarabunPSK" w:hAnsi="TH SarabunPSK" w:cs="TH SarabunPSK"/>
                <w:sz w:val="48"/>
                <w:szCs w:val="48"/>
              </w:rPr>
              <w:t>5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งวด จ่ายเงิน </w:t>
            </w:r>
            <w:r w:rsidR="00CB481A" w:rsidRPr="00DB2DE6">
              <w:rPr>
                <w:rFonts w:ascii="TH SarabunPSK" w:hAnsi="TH SarabunPSK" w:cs="TH SarabunPSK"/>
                <w:sz w:val="48"/>
                <w:szCs w:val="48"/>
              </w:rPr>
              <w:t>5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งวด</w:t>
            </w:r>
          </w:p>
          <w:p w:rsidR="004B0E47" w:rsidRPr="00725DC1" w:rsidRDefault="004B0E47" w:rsidP="00DB2DE6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</w:t>
            </w:r>
            <w:r w:rsidRPr="00DB2DE6">
              <w:rPr>
                <w:rFonts w:ascii="TH SarabunPSK" w:hAnsi="TH SarabunPSK" w:cs="TH SarabunPSK"/>
                <w:sz w:val="48"/>
                <w:szCs w:val="48"/>
              </w:rPr>
              <w:t>8.2</w:t>
            </w:r>
            <w:r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งวดงานและงวดเงินไม่ตรงกัน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เช่น ส่งมอบงาน </w:t>
            </w:r>
            <w:r w:rsidR="00CB481A" w:rsidRPr="00DB2DE6">
              <w:rPr>
                <w:rFonts w:ascii="TH SarabunPSK" w:hAnsi="TH SarabunPSK" w:cs="TH SarabunPSK"/>
                <w:sz w:val="48"/>
                <w:szCs w:val="48"/>
              </w:rPr>
              <w:t>5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งวด จ่ายเงิน </w:t>
            </w:r>
            <w:r w:rsidR="00CB481A" w:rsidRPr="00DB2DE6">
              <w:rPr>
                <w:rFonts w:ascii="TH SarabunPSK" w:hAnsi="TH SarabunPSK" w:cs="TH SarabunPSK"/>
                <w:sz w:val="48"/>
                <w:szCs w:val="48"/>
              </w:rPr>
              <w:t>4</w:t>
            </w:r>
            <w:r w:rsidR="00CB481A" w:rsidRPr="00DB2DE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งวด</w:t>
            </w:r>
          </w:p>
        </w:tc>
        <w:tc>
          <w:tcPr>
            <w:tcW w:w="5589" w:type="dxa"/>
          </w:tcPr>
          <w:p w:rsidR="00251D7C" w:rsidRPr="00725DC1" w:rsidRDefault="00251D7C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251D7C" w:rsidRPr="00725DC1" w:rsidTr="00725DC1">
        <w:tc>
          <w:tcPr>
            <w:tcW w:w="8359" w:type="dxa"/>
          </w:tcPr>
          <w:p w:rsidR="00251D7C" w:rsidRPr="00725DC1" w:rsidRDefault="004B0E47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9. 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การจ่ายเงินล่วงหน้า</w:t>
            </w:r>
            <w:r w:rsidR="00A80597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  <w:tc>
          <w:tcPr>
            <w:tcW w:w="5589" w:type="dxa"/>
          </w:tcPr>
          <w:p w:rsidR="005D335B" w:rsidRPr="00407756" w:rsidRDefault="00405157" w:rsidP="00405157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>โดยหลักการ ไม่สามารถจ่ายได้  แต่หากมีความจำเป็นต้องจ่ายเป็นดุลพินิจหัวหน้า</w:t>
            </w:r>
            <w:r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lastRenderedPageBreak/>
              <w:t>หน่วยงานของรัฐ ดังนั้น จึง</w:t>
            </w:r>
            <w:r w:rsidR="004B0E47"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ต้องระบุเหตุผลในการจ่ายเงินล่วงหน้า </w:t>
            </w:r>
            <w:r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>อาทิ</w:t>
            </w:r>
            <w:r w:rsidR="005D335B" w:rsidRPr="00407756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เพื่อสนับสนุนการปฏิบัติงานตามสัญญาหรือข้อตกลงของคู่สัญญา ให้มีสภาพคล่องในระยะเริ่มต้น</w:t>
            </w:r>
          </w:p>
        </w:tc>
      </w:tr>
      <w:tr w:rsidR="004B0E47" w:rsidRPr="00725DC1" w:rsidTr="00725DC1">
        <w:tc>
          <w:tcPr>
            <w:tcW w:w="8359" w:type="dxa"/>
          </w:tcPr>
          <w:p w:rsidR="004B0E47" w:rsidRDefault="00A8059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10.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เกณฑ์การพิจารณาคัดเลือกข้อเสนอ</w:t>
            </w:r>
          </w:p>
          <w:p w:rsidR="002A40AE" w:rsidRPr="00C7263E" w:rsidRDefault="002A40AE">
            <w:pPr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cs/>
              </w:rPr>
            </w:pPr>
            <w:r w:rsidRPr="00C7263E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u w:val="single"/>
                <w:cs/>
              </w:rPr>
              <w:t xml:space="preserve">ตัวอย่าง </w:t>
            </w:r>
            <w:r w:rsidRPr="00C7263E"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u w:val="single"/>
              </w:rPr>
              <w:t>1</w:t>
            </w:r>
            <w:r w:rsidR="00C7263E"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</w:rPr>
              <w:t xml:space="preserve"> </w:t>
            </w:r>
            <w:r w:rsidR="00C7263E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cs/>
              </w:rPr>
              <w:t>การจ้าง</w:t>
            </w:r>
          </w:p>
          <w:p w:rsidR="00A80597" w:rsidRPr="003E45C3" w:rsidRDefault="008D00BA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</w:t>
            </w:r>
            <w:r w:rsidR="00A80597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ใ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นการ</w:t>
            </w:r>
            <w:r w:rsidR="00A80597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จ้างครั้งนี้ จะพิจารณาคัดเลือกข้อเสนอโดยใช้</w:t>
            </w:r>
            <w:r w:rsidR="00007F05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เกณฑ์ราคากับเกณฑ์อื่น ได้แก่ ข้อเสนอทางเทคนิคหรือข้อเสนออื่น</w:t>
            </w:r>
            <w:r w:rsidR="00007F05" w:rsidRPr="003E45C3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007F05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โดยกำหนดน้ำหนักแต่ละเกณฑ์ ดังนี้</w:t>
            </w:r>
          </w:p>
          <w:p w:rsidR="00007F05" w:rsidRPr="003E45C3" w:rsidRDefault="00007F0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10.1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ราคา  น้ำหนัก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50</w:t>
            </w:r>
          </w:p>
          <w:p w:rsidR="00007F05" w:rsidRPr="003E45C3" w:rsidRDefault="00007F0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10.2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ข้อเสนอทางเทคนิคหรือข้อเสนออื่น น้ำหนัก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50</w:t>
            </w:r>
          </w:p>
          <w:p w:rsidR="00007F05" w:rsidRPr="003E45C3" w:rsidRDefault="00007F0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(1) คุณภาพของวัสดุ อุปกรณ์ เครื่องมือที่ใช้ในการทำงานจ้าง</w:t>
            </w:r>
          </w:p>
          <w:p w:rsidR="00DC7D44" w:rsidRPr="003E45C3" w:rsidRDefault="00007F0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(2) </w:t>
            </w:r>
            <w:r w:rsidR="00DC7D44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ผลงานของผู้ยื่นข้อเสนอ</w:t>
            </w:r>
          </w:p>
          <w:p w:rsidR="00747AE9" w:rsidRPr="003E45C3" w:rsidRDefault="00747AE9" w:rsidP="00747AE9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-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มูลค่าของผลงาน</w:t>
            </w:r>
          </w:p>
          <w:p w:rsidR="00747AE9" w:rsidRPr="003E45C3" w:rsidRDefault="00747AE9" w:rsidP="00747AE9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-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คุณภาพของผลงาน</w:t>
            </w:r>
          </w:p>
          <w:p w:rsidR="00EE24C8" w:rsidRPr="00C7263E" w:rsidRDefault="0097269C">
            <w:pPr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u w:val="single"/>
                <w:cs/>
              </w:rPr>
            </w:pPr>
            <w:r w:rsidRPr="00C7263E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u w:val="single"/>
                <w:cs/>
              </w:rPr>
              <w:t xml:space="preserve">ตัวอย่าง </w:t>
            </w:r>
            <w:r w:rsidRPr="00C7263E"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u w:val="single"/>
              </w:rPr>
              <w:t>2</w:t>
            </w:r>
            <w:r w:rsidR="00C7263E">
              <w:rPr>
                <w:rFonts w:ascii="TH SarabunPSK" w:hAnsi="TH SarabunPSK" w:cs="TH SarabunPSK"/>
                <w:b/>
                <w:bCs/>
                <w:color w:val="0000FF"/>
                <w:sz w:val="48"/>
                <w:szCs w:val="48"/>
                <w:u w:val="single"/>
              </w:rPr>
              <w:t xml:space="preserve"> </w:t>
            </w:r>
            <w:r w:rsidR="00C7263E">
              <w:rPr>
                <w:rFonts w:ascii="TH SarabunPSK" w:hAnsi="TH SarabunPSK" w:cs="TH SarabunPSK" w:hint="cs"/>
                <w:b/>
                <w:bCs/>
                <w:color w:val="0000FF"/>
                <w:sz w:val="48"/>
                <w:szCs w:val="48"/>
                <w:u w:val="single"/>
                <w:cs/>
              </w:rPr>
              <w:t>การซื้อหรือเช่า</w:t>
            </w:r>
          </w:p>
          <w:p w:rsidR="0097269C" w:rsidRPr="003E45C3" w:rsidRDefault="0097269C" w:rsidP="0097269C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ในการซื้อ/เช่า ครั้งนี้ จะพิจารณาคัดเลือกข้อเสนอโดยใช้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lastRenderedPageBreak/>
              <w:t xml:space="preserve">เกณฑ์ราคากับเกณฑ์อื่น ได้แก่ </w:t>
            </w:r>
            <w:r w:rsidR="002A40AE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ต้นทุนของพัสดุตลอดอายุการใช้งาน และบริหารหลังการขาย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โดยกำหนดน้ำหนักแต่ละเกณฑ์ ดังนี้</w:t>
            </w:r>
          </w:p>
          <w:p w:rsidR="0097269C" w:rsidRPr="003E45C3" w:rsidRDefault="0097269C" w:rsidP="0097269C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10.1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ราคา  น้ำหนัก </w:t>
            </w:r>
            <w:r w:rsidR="002A40AE" w:rsidRPr="003E45C3">
              <w:rPr>
                <w:rFonts w:ascii="TH SarabunPSK" w:hAnsi="TH SarabunPSK" w:cs="TH SarabunPSK"/>
                <w:sz w:val="48"/>
                <w:szCs w:val="48"/>
              </w:rPr>
              <w:t>4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0</w:t>
            </w:r>
          </w:p>
          <w:p w:rsidR="00EE24C8" w:rsidRPr="003E45C3" w:rsidRDefault="0097269C" w:rsidP="0097269C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10.2 </w:t>
            </w:r>
            <w:r w:rsidR="002A40AE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ต้นทุนของพัสดุตลอดอายุการใช้งาน น้ำหนัก </w:t>
            </w:r>
            <w:r w:rsidR="002A40AE" w:rsidRPr="003E45C3">
              <w:rPr>
                <w:rFonts w:ascii="TH SarabunPSK" w:hAnsi="TH SarabunPSK" w:cs="TH SarabunPSK"/>
                <w:sz w:val="48"/>
                <w:szCs w:val="48"/>
              </w:rPr>
              <w:t>30</w:t>
            </w:r>
          </w:p>
          <w:p w:rsidR="00F86E45" w:rsidRPr="003E45C3" w:rsidRDefault="00F86E45" w:rsidP="0097269C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1)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ราคาต่อหน่วยของอะไหล่ตามรายการดังต่อไปนี้</w:t>
            </w:r>
          </w:p>
          <w:p w:rsidR="00F86E45" w:rsidRPr="003E45C3" w:rsidRDefault="00F86E45" w:rsidP="0097269C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- …………………………………………..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- …………………………………………..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- …………………………………………..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2)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ระยะเวลาการสำรองอะไหล่ตาม (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1)</w:t>
            </w:r>
          </w:p>
          <w:p w:rsidR="00C540B2" w:rsidRPr="003E45C3" w:rsidRDefault="00C540B2" w:rsidP="00C540B2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(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3)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ให้เสนอระยะเวลาการค้ำประกันความชำรุดบกพร่อง</w:t>
            </w:r>
          </w:p>
          <w:p w:rsidR="00C540B2" w:rsidRPr="003E45C3" w:rsidRDefault="00C540B2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007F05" w:rsidRPr="003E45C3" w:rsidRDefault="00007F0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</w:t>
            </w:r>
            <w:r w:rsidR="002A40AE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10.3 บริหารหลังการขาย น้ำหนัก </w:t>
            </w:r>
            <w:r w:rsidR="002A40AE" w:rsidRPr="003E45C3">
              <w:rPr>
                <w:rFonts w:ascii="TH SarabunPSK" w:hAnsi="TH SarabunPSK" w:cs="TH SarabunPSK"/>
                <w:sz w:val="48"/>
                <w:szCs w:val="48"/>
              </w:rPr>
              <w:t>30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(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1)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ให้กำหนดระยะเวลาที่จะเข้ามาทำการแก้ไขความชำรุดบกพร่อง โดยเสนอเป็นชั่วโมงนับถัดจากได้แจ้งจากหน่วยงาน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          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(</w:t>
            </w:r>
            <w:r w:rsidR="00A534FF" w:rsidRPr="003E45C3">
              <w:rPr>
                <w:rFonts w:ascii="TH SarabunPSK" w:hAnsi="TH SarabunPSK" w:cs="TH SarabunPSK"/>
                <w:sz w:val="48"/>
                <w:szCs w:val="48"/>
              </w:rPr>
              <w:t>2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>)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ให้กำหนดระยะเวลาในการแก้ไขความชำรุดบกพร่อง โดยเสนอเป็นชั่งโมง ตามความเสี่ยงดังนี้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lastRenderedPageBreak/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-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ความเสี่ยงต่ำ</w:t>
            </w:r>
            <w:r w:rsidR="00724D84" w:rsidRPr="003E45C3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724D84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(หน่วยงานระบุรายการ)</w:t>
            </w:r>
          </w:p>
          <w:p w:rsidR="00F86E45" w:rsidRPr="003E45C3" w:rsidRDefault="00F86E45" w:rsidP="00F86E45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-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ความเสี่ยงปานกลาง</w:t>
            </w:r>
            <w:r w:rsidR="00724D84" w:rsidRPr="003E45C3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724D84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(หน่วยงานระบุรายการ)</w:t>
            </w:r>
          </w:p>
          <w:p w:rsidR="00F86E45" w:rsidRDefault="00F86E45" w:rsidP="00C7263E">
            <w:pPr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</w:t>
            </w:r>
            <w:r w:rsidRPr="003E45C3">
              <w:rPr>
                <w:rFonts w:ascii="TH SarabunPSK" w:hAnsi="TH SarabunPSK" w:cs="TH SarabunPSK"/>
                <w:sz w:val="48"/>
                <w:szCs w:val="48"/>
              </w:rPr>
              <w:t xml:space="preserve">- </w:t>
            </w:r>
            <w:r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ความเสี่ยงสูง</w:t>
            </w:r>
            <w:r w:rsidR="00724D84" w:rsidRPr="003E45C3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724D84" w:rsidRPr="003E45C3">
              <w:rPr>
                <w:rFonts w:ascii="TH SarabunPSK" w:hAnsi="TH SarabunPSK" w:cs="TH SarabunPSK" w:hint="cs"/>
                <w:sz w:val="48"/>
                <w:szCs w:val="48"/>
                <w:cs/>
              </w:rPr>
              <w:t>(หน่วยงานระบุรายการ)</w:t>
            </w:r>
          </w:p>
        </w:tc>
        <w:tc>
          <w:tcPr>
            <w:tcW w:w="5589" w:type="dxa"/>
          </w:tcPr>
          <w:p w:rsidR="004B0E47" w:rsidRPr="00725DC1" w:rsidRDefault="004B0E47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6B2C48" w:rsidRPr="00725DC1" w:rsidTr="00725DC1">
        <w:tc>
          <w:tcPr>
            <w:tcW w:w="8359" w:type="dxa"/>
          </w:tcPr>
          <w:p w:rsidR="006B2C48" w:rsidRDefault="006B2C48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lastRenderedPageBreak/>
              <w:t>11. เงื่อนไขอื่น ๆ</w:t>
            </w:r>
          </w:p>
          <w:p w:rsidR="000A558C" w:rsidRPr="000A558C" w:rsidRDefault="000A558C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0A558C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</w:t>
            </w:r>
            <w:r w:rsidRPr="000A558C">
              <w:rPr>
                <w:rFonts w:ascii="TH SarabunPSK" w:hAnsi="TH SarabunPSK" w:cs="TH SarabunPSK" w:hint="cs"/>
                <w:sz w:val="48"/>
                <w:szCs w:val="48"/>
                <w:cs/>
              </w:rPr>
              <w:t>อาทิ  ค่าปรับ  การประกันความชำรุดบกพร่อง ฯลฯ</w:t>
            </w:r>
          </w:p>
        </w:tc>
        <w:tc>
          <w:tcPr>
            <w:tcW w:w="5589" w:type="dxa"/>
          </w:tcPr>
          <w:p w:rsidR="006B2C48" w:rsidRDefault="006B2C48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FD476E" w:rsidRPr="00FD476E" w:rsidRDefault="00FD476E">
            <w:pPr>
              <w:rPr>
                <w:rFonts w:ascii="TH SarabunPSK" w:hAnsi="TH SarabunPSK" w:cs="TH SarabunPSK"/>
                <w:sz w:val="48"/>
                <w:szCs w:val="48"/>
              </w:rPr>
            </w:pPr>
            <w:r w:rsidRPr="00FD476E">
              <w:rPr>
                <w:rFonts w:ascii="TH SarabunPSK" w:hAnsi="TH SarabunPSK" w:cs="TH SarabunPSK" w:hint="cs"/>
                <w:sz w:val="48"/>
                <w:szCs w:val="48"/>
                <w:cs/>
              </w:rPr>
              <w:t>พิจารณาจากแบบประกาศประกวดราคาและเอกสารประกวดราคา รวมทั้งแบบสัญญา</w:t>
            </w:r>
          </w:p>
        </w:tc>
      </w:tr>
    </w:tbl>
    <w:p w:rsidR="00A938EB" w:rsidRPr="00A938EB" w:rsidRDefault="006F701C" w:rsidP="003865B3">
      <w:pPr>
        <w:ind w:left="-142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F701C">
        <w:rPr>
          <w:rFonts w:ascii="TH SarabunPSK" w:hAnsi="TH SarabunPSK" w:cs="TH SarabunPSK"/>
          <w:b/>
          <w:bCs/>
          <w:noProof/>
          <w:sz w:val="48"/>
          <w:szCs w:val="48"/>
          <w:cs/>
        </w:rPr>
        <w:drawing>
          <wp:inline distT="0" distB="0" distL="0" distR="0">
            <wp:extent cx="8856921" cy="1063256"/>
            <wp:effectExtent l="19050" t="0" r="1329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76064"/>
                      <a:chOff x="0" y="6237312"/>
                      <a:chExt cx="9144000" cy="576064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0" y="6237312"/>
                        <a:ext cx="9144000" cy="576064"/>
                        <a:chOff x="0" y="6165304"/>
                        <a:chExt cx="9144000" cy="576064"/>
                      </a:xfrm>
                    </a:grpSpPr>
                    <a:grpSp>
                      <a:nvGrpSpPr>
                        <a:cNvPr id="3" name="Group 10"/>
                        <a:cNvGrpSpPr/>
                      </a:nvGrpSpPr>
                      <a:grpSpPr>
                        <a:xfrm>
                          <a:off x="0" y="6165304"/>
                          <a:ext cx="9144000" cy="576064"/>
                          <a:chOff x="0" y="5877272"/>
                          <a:chExt cx="9144000" cy="576064"/>
                        </a:xfrm>
                      </a:grpSpPr>
                      <a:grpSp>
                        <a:nvGrpSpPr>
                          <a:cNvPr id="5" name="Group 23"/>
                          <a:cNvGrpSpPr/>
                        </a:nvGrpSpPr>
                        <a:grpSpPr>
                          <a:xfrm>
                            <a:off x="0" y="5877272"/>
                            <a:ext cx="9144000" cy="576064"/>
                            <a:chOff x="0" y="5877272"/>
                            <a:chExt cx="9144000" cy="576064"/>
                          </a:xfrm>
                        </a:grpSpPr>
                        <a:cxnSp>
                          <a:nvCxnSpPr>
                            <a:cNvPr id="20" name="Straight Connector 19"/>
                            <a:cNvCxnSpPr/>
                          </a:nvCxnSpPr>
                          <a:spPr>
                            <a:xfrm>
                              <a:off x="0" y="6093296"/>
                              <a:ext cx="9144000" cy="720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8000"/>
                              </a:solidFill>
                            </a:ln>
                          </a:spPr>
                          <a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1" name="Rectangle 20"/>
                            <a:cNvSpPr/>
                          </a:nvSpPr>
                          <a:spPr>
                            <a:xfrm>
                              <a:off x="6444208" y="5877272"/>
                              <a:ext cx="2664296" cy="288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sz="2000" b="1" dirty="0" err="1" smtClean="0">
                                    <a:solidFill>
                                      <a:schemeClr val="tx1"/>
                                    </a:solidFill>
                                    <a:effectLst>
                                      <a:innerShdw blurRad="63500" dist="50800" dir="54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Natchanon</a:t>
                                </a:r>
                                <a:r>
                                  <a:rPr lang="en-US" sz="2000" b="1" dirty="0" smtClean="0">
                                    <a:solidFill>
                                      <a:schemeClr val="tx1"/>
                                    </a:solidFill>
                                    <a:effectLst>
                                      <a:innerShdw blurRad="63500" dist="50800" dir="54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  </a:t>
                                </a:r>
                                <a:r>
                                  <a:rPr lang="en-US" sz="2000" b="1" dirty="0" err="1" smtClean="0">
                                    <a:solidFill>
                                      <a:schemeClr val="tx1"/>
                                    </a:solidFill>
                                    <a:effectLst>
                                      <a:innerShdw blurRad="63500" dist="50800" dir="54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Siriphongsurapa</a:t>
                                </a:r>
                                <a:endParaRPr lang="th-TH" sz="2000" b="1" dirty="0">
                                  <a:solidFill>
                                    <a:schemeClr val="tx1"/>
                                  </a:solidFill>
                                  <a:effectLst>
                                    <a:innerShdw blurRad="63500" dist="50800" dir="5400000">
                                      <a:prstClr val="black">
                                        <a:alpha val="50000"/>
                                      </a:prstClr>
                                    </a:innerShdw>
                                  </a:effectLst>
                                  <a:latin typeface="Angsana New" pitchFamily="18" charset="-34"/>
                                  <a:cs typeface="Angsana New" pitchFamily="18" charset="-34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Rectangle 21"/>
                            <a:cNvSpPr/>
                          </a:nvSpPr>
                          <a:spPr>
                            <a:xfrm>
                              <a:off x="6804248" y="6165304"/>
                              <a:ext cx="2160240" cy="288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h-TH"/>
                                </a:defPPr>
                                <a:lvl1pPr marL="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sz="2000" b="1" dirty="0" smtClean="0">
                                    <a:solidFill>
                                      <a:srgbClr val="FF6600"/>
                                    </a:solidFill>
                                    <a:effectLst>
                                      <a:innerShdw blurRad="114300">
                                        <a:prstClr val="black"/>
                                      </a:innerShdw>
                                      <a:reflection blurRad="6350" stA="55000" endA="300" endPos="45500" dir="5400000" sy="-100000" algn="bl" rotWithShape="0"/>
                                    </a:effectLst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 C    O P Y R I G H T</a:t>
                                </a:r>
                                <a:endParaRPr lang="th-TH" sz="2000" b="1" dirty="0">
                                  <a:solidFill>
                                    <a:srgbClr val="FF6600"/>
                                  </a:solidFill>
                                  <a:effectLst>
                                    <a:innerShdw blurRad="114300">
                                      <a:prstClr val="black"/>
                                    </a:innerShdw>
                                    <a:reflection blurRad="6350" stA="55000" endA="300" endPos="45500" dir="5400000" sy="-100000" algn="bl" rotWithShape="0"/>
                                  </a:effectLst>
                                  <a:latin typeface="Angsana New" pitchFamily="18" charset="-34"/>
                                  <a:cs typeface="Angsana New" pitchFamily="18" charset="-34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cxnSp>
                        <a:nvCxnSpPr>
                          <a:cNvPr id="19" name="Straight Connector 18"/>
                          <a:cNvCxnSpPr/>
                        </a:nvCxnSpPr>
                        <a:spPr>
                          <a:xfrm>
                            <a:off x="0" y="6165304"/>
                            <a:ext cx="914400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8000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7" name="Oval 16"/>
                        <a:cNvSpPr/>
                      </a:nvSpPr>
                      <a:spPr>
                        <a:xfrm>
                          <a:off x="7092280" y="6453336"/>
                          <a:ext cx="288032" cy="2880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66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000" b="1" dirty="0" smtClean="0">
                                <a:solidFill>
                                  <a:schemeClr val="tx1"/>
                                </a:solidFill>
                                <a:effectLst>
                                  <a:innerShdw blurRad="114300">
                                    <a:prstClr val="black"/>
                                  </a:innerShdw>
                                  <a:reflection blurRad="6350" stA="55000" endA="300" endPos="45500" dir="5400000" sy="-100000" algn="bl" rotWithShape="0"/>
                                </a:effectLst>
                                <a:latin typeface="Angsana New" pitchFamily="18" charset="-34"/>
                              </a:rPr>
                              <a:t>C</a:t>
                            </a:r>
                            <a:endParaRPr lang="th-TH" sz="2000" b="1" dirty="0">
                              <a:solidFill>
                                <a:schemeClr val="tx1"/>
                              </a:solidFill>
                              <a:effectLst>
                                <a:innerShdw blurRad="114300">
                                  <a:prstClr val="black"/>
                                </a:innerShdw>
                                <a:reflection blurRad="6350" stA="55000" endA="300" endPos="45500" dir="5400000" sy="-100000" algn="bl" rotWithShape="0"/>
                              </a:effectLst>
                              <a:latin typeface="Angsana New" pitchFamily="18" charset="-34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2259E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="0028168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sectPr w:rsidR="00A938EB" w:rsidRPr="00A938EB" w:rsidSect="00424778">
      <w:pgSz w:w="16838" w:h="11906" w:orient="landscape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3F1"/>
    <w:multiLevelType w:val="hybridMultilevel"/>
    <w:tmpl w:val="1C2C40C2"/>
    <w:lvl w:ilvl="0" w:tplc="9BD4A81E">
      <w:start w:val="4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1E73651A"/>
    <w:multiLevelType w:val="hybridMultilevel"/>
    <w:tmpl w:val="B53EB4C2"/>
    <w:lvl w:ilvl="0" w:tplc="0270C7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2E5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A89D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9D8AD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24B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6D5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9C18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EC6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A42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20202965"/>
    <w:multiLevelType w:val="hybridMultilevel"/>
    <w:tmpl w:val="0BDEB86E"/>
    <w:lvl w:ilvl="0" w:tplc="B3487F96">
      <w:start w:val="1"/>
      <w:numFmt w:val="decimal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9ED65DD"/>
    <w:multiLevelType w:val="hybridMultilevel"/>
    <w:tmpl w:val="3A20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E17F8"/>
    <w:multiLevelType w:val="hybridMultilevel"/>
    <w:tmpl w:val="6E2C244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6C390DF8"/>
    <w:multiLevelType w:val="hybridMultilevel"/>
    <w:tmpl w:val="B7746474"/>
    <w:lvl w:ilvl="0" w:tplc="55A61BD8">
      <w:start w:val="1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875AC"/>
    <w:rsid w:val="00007F05"/>
    <w:rsid w:val="000A558C"/>
    <w:rsid w:val="00111540"/>
    <w:rsid w:val="001B27D4"/>
    <w:rsid w:val="00217AFE"/>
    <w:rsid w:val="002259E7"/>
    <w:rsid w:val="002316F1"/>
    <w:rsid w:val="00251D7C"/>
    <w:rsid w:val="0028168F"/>
    <w:rsid w:val="002875AC"/>
    <w:rsid w:val="002A40AE"/>
    <w:rsid w:val="002A59E0"/>
    <w:rsid w:val="002C0922"/>
    <w:rsid w:val="002C745B"/>
    <w:rsid w:val="002E1AF3"/>
    <w:rsid w:val="003027E8"/>
    <w:rsid w:val="0032502B"/>
    <w:rsid w:val="003865B3"/>
    <w:rsid w:val="003E45C3"/>
    <w:rsid w:val="00405157"/>
    <w:rsid w:val="00407756"/>
    <w:rsid w:val="00424778"/>
    <w:rsid w:val="004B0E47"/>
    <w:rsid w:val="004C68CD"/>
    <w:rsid w:val="00587EFB"/>
    <w:rsid w:val="005C43E1"/>
    <w:rsid w:val="005D335B"/>
    <w:rsid w:val="005E6B30"/>
    <w:rsid w:val="005E7DF4"/>
    <w:rsid w:val="00612010"/>
    <w:rsid w:val="006538DA"/>
    <w:rsid w:val="006549A8"/>
    <w:rsid w:val="00677A9D"/>
    <w:rsid w:val="006B0B8E"/>
    <w:rsid w:val="006B2C48"/>
    <w:rsid w:val="006C385E"/>
    <w:rsid w:val="006F701C"/>
    <w:rsid w:val="006F7D99"/>
    <w:rsid w:val="00724D84"/>
    <w:rsid w:val="00725DC1"/>
    <w:rsid w:val="00747AE9"/>
    <w:rsid w:val="00775C13"/>
    <w:rsid w:val="007A7D2C"/>
    <w:rsid w:val="00827D03"/>
    <w:rsid w:val="008415D8"/>
    <w:rsid w:val="00847A06"/>
    <w:rsid w:val="008D00BA"/>
    <w:rsid w:val="0097269C"/>
    <w:rsid w:val="009B6EE0"/>
    <w:rsid w:val="009C71DF"/>
    <w:rsid w:val="009D7F14"/>
    <w:rsid w:val="00A534FF"/>
    <w:rsid w:val="00A80597"/>
    <w:rsid w:val="00A85351"/>
    <w:rsid w:val="00A938EB"/>
    <w:rsid w:val="00AA342A"/>
    <w:rsid w:val="00AC5122"/>
    <w:rsid w:val="00B4461E"/>
    <w:rsid w:val="00B45F10"/>
    <w:rsid w:val="00B55E24"/>
    <w:rsid w:val="00C23092"/>
    <w:rsid w:val="00C540B2"/>
    <w:rsid w:val="00C67D98"/>
    <w:rsid w:val="00C7263E"/>
    <w:rsid w:val="00C8238B"/>
    <w:rsid w:val="00C83DBF"/>
    <w:rsid w:val="00CB481A"/>
    <w:rsid w:val="00D14194"/>
    <w:rsid w:val="00D21A81"/>
    <w:rsid w:val="00D9339D"/>
    <w:rsid w:val="00DA07D4"/>
    <w:rsid w:val="00DA693E"/>
    <w:rsid w:val="00DB2DE6"/>
    <w:rsid w:val="00DC7D44"/>
    <w:rsid w:val="00DF0BCE"/>
    <w:rsid w:val="00E53A45"/>
    <w:rsid w:val="00EE24C8"/>
    <w:rsid w:val="00F25FF6"/>
    <w:rsid w:val="00F43D29"/>
    <w:rsid w:val="00F67C12"/>
    <w:rsid w:val="00F86E45"/>
    <w:rsid w:val="00FC3B0A"/>
    <w:rsid w:val="00FD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70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1074-143D-4BDF-B801-32C11BAC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natchanon.s</cp:lastModifiedBy>
  <cp:revision>2</cp:revision>
  <dcterms:created xsi:type="dcterms:W3CDTF">2019-04-22T04:53:00Z</dcterms:created>
  <dcterms:modified xsi:type="dcterms:W3CDTF">2019-04-22T04:53:00Z</dcterms:modified>
</cp:coreProperties>
</file>